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56" w:rsidRDefault="003B4656" w:rsidP="003F525C"/>
    <w:tbl>
      <w:tblPr>
        <w:tblStyle w:val="TableGrid"/>
        <w:tblW w:w="10728" w:type="dxa"/>
        <w:tblLayout w:type="fixed"/>
        <w:tblLook w:val="00BF"/>
      </w:tblPr>
      <w:tblGrid>
        <w:gridCol w:w="5364"/>
        <w:gridCol w:w="5364"/>
      </w:tblGrid>
      <w:tr w:rsidR="003B4656">
        <w:tc>
          <w:tcPr>
            <w:tcW w:w="10728" w:type="dxa"/>
            <w:gridSpan w:val="2"/>
            <w:shd w:val="pct20" w:color="auto" w:fill="auto"/>
          </w:tcPr>
          <w:p w:rsidR="00AC62F7" w:rsidRDefault="003B4656" w:rsidP="003B4656">
            <w:pPr>
              <w:jc w:val="center"/>
              <w:rPr>
                <w:b/>
                <w:sz w:val="56"/>
              </w:rPr>
            </w:pPr>
            <w:r w:rsidRPr="00762E2B">
              <w:rPr>
                <w:b/>
                <w:sz w:val="56"/>
              </w:rPr>
              <w:t>Naviance eDocs</w:t>
            </w:r>
          </w:p>
          <w:p w:rsidR="003B4656" w:rsidRPr="00F150AE" w:rsidRDefault="003B4656" w:rsidP="003B4656">
            <w:pPr>
              <w:jc w:val="center"/>
              <w:rPr>
                <w:b/>
                <w:sz w:val="36"/>
              </w:rPr>
            </w:pPr>
          </w:p>
        </w:tc>
      </w:tr>
      <w:tr w:rsidR="003B4656">
        <w:tc>
          <w:tcPr>
            <w:tcW w:w="5364" w:type="dxa"/>
            <w:shd w:val="pct12" w:color="auto" w:fill="auto"/>
          </w:tcPr>
          <w:p w:rsidR="0049321C" w:rsidRDefault="003B4656" w:rsidP="003B4656">
            <w:pPr>
              <w:jc w:val="center"/>
              <w:rPr>
                <w:b/>
                <w:sz w:val="32"/>
              </w:rPr>
            </w:pPr>
            <w:r w:rsidRPr="00762E2B">
              <w:rPr>
                <w:b/>
                <w:sz w:val="32"/>
              </w:rPr>
              <w:t>Advantages</w:t>
            </w:r>
          </w:p>
          <w:p w:rsidR="003B4656" w:rsidRPr="00F150AE" w:rsidRDefault="003B4656" w:rsidP="003B4656">
            <w:pPr>
              <w:jc w:val="center"/>
              <w:rPr>
                <w:b/>
                <w:sz w:val="28"/>
              </w:rPr>
            </w:pPr>
          </w:p>
        </w:tc>
        <w:tc>
          <w:tcPr>
            <w:tcW w:w="5364" w:type="dxa"/>
            <w:shd w:val="pct12" w:color="auto" w:fill="auto"/>
          </w:tcPr>
          <w:p w:rsidR="003B4656" w:rsidRPr="00762E2B" w:rsidRDefault="003B4656" w:rsidP="003B4656">
            <w:pPr>
              <w:jc w:val="center"/>
              <w:rPr>
                <w:b/>
                <w:sz w:val="32"/>
              </w:rPr>
            </w:pPr>
            <w:r w:rsidRPr="00762E2B">
              <w:rPr>
                <w:b/>
                <w:sz w:val="32"/>
              </w:rPr>
              <w:t>Disadvantages</w:t>
            </w:r>
          </w:p>
        </w:tc>
      </w:tr>
      <w:tr w:rsidR="003B4656">
        <w:tc>
          <w:tcPr>
            <w:tcW w:w="5364" w:type="dxa"/>
          </w:tcPr>
          <w:p w:rsidR="00CC6AEA" w:rsidRDefault="00CC6AEA" w:rsidP="00CC6AEA">
            <w:pPr>
              <w:pStyle w:val="ListParagraph"/>
              <w:ind w:left="360"/>
            </w:pPr>
          </w:p>
          <w:p w:rsidR="00D11239" w:rsidRPr="00C54CC8" w:rsidRDefault="0080783F" w:rsidP="00746F39">
            <w:pPr>
              <w:pStyle w:val="ListParagraph"/>
              <w:numPr>
                <w:ilvl w:val="0"/>
                <w:numId w:val="2"/>
              </w:numPr>
            </w:pPr>
            <w:r w:rsidRPr="005B3E54">
              <w:t xml:space="preserve">Ability to </w:t>
            </w:r>
            <w:r w:rsidR="00D11239" w:rsidRPr="005B3E54">
              <w:t>send</w:t>
            </w:r>
            <w:r w:rsidR="00D11239" w:rsidRPr="00C54CC8">
              <w:t xml:space="preserve"> all counselor forms or letters of rec</w:t>
            </w:r>
            <w:r w:rsidR="005B3E54">
              <w:t>ommendation</w:t>
            </w:r>
            <w:r w:rsidR="00D11239" w:rsidRPr="00C54CC8">
              <w:t xml:space="preserve"> electronically to</w:t>
            </w:r>
            <w:r w:rsidR="002241D8">
              <w:t xml:space="preserve"> </w:t>
            </w:r>
            <w:r w:rsidR="00D11239" w:rsidRPr="00C54CC8">
              <w:t xml:space="preserve">1800 Common App AND non-Common App schools </w:t>
            </w:r>
          </w:p>
          <w:p w:rsidR="00D11239" w:rsidRPr="00C54CC8" w:rsidRDefault="00D11239" w:rsidP="00746F39">
            <w:pPr>
              <w:pStyle w:val="ListParagraph"/>
              <w:numPr>
                <w:ilvl w:val="0"/>
                <w:numId w:val="2"/>
              </w:numPr>
            </w:pPr>
            <w:r w:rsidRPr="00C54CC8">
              <w:t>Secure</w:t>
            </w:r>
          </w:p>
          <w:p w:rsidR="00D11239" w:rsidRPr="00C54CC8" w:rsidRDefault="00D11239" w:rsidP="00746F39">
            <w:pPr>
              <w:pStyle w:val="ListParagraph"/>
              <w:numPr>
                <w:ilvl w:val="0"/>
                <w:numId w:val="2"/>
              </w:numPr>
            </w:pPr>
            <w:r w:rsidRPr="00C54CC8">
              <w:t>Time and cost savings over sending materials on paper</w:t>
            </w:r>
          </w:p>
          <w:p w:rsidR="00B84D6B" w:rsidRDefault="00B84D6B" w:rsidP="00B84D6B">
            <w:pPr>
              <w:pStyle w:val="ListParagraph"/>
              <w:numPr>
                <w:ilvl w:val="0"/>
                <w:numId w:val="2"/>
              </w:numPr>
            </w:pPr>
            <w:r w:rsidRPr="00794B80">
              <w:t>You can complete the Common App forms and letters of recommendation once and send to multiple colleges.</w:t>
            </w:r>
          </w:p>
          <w:p w:rsidR="00B84D6B" w:rsidRDefault="0080783F" w:rsidP="00B84D6B">
            <w:pPr>
              <w:pStyle w:val="ListParagraph"/>
              <w:numPr>
                <w:ilvl w:val="0"/>
                <w:numId w:val="2"/>
              </w:numPr>
            </w:pPr>
            <w:r>
              <w:t>The NACAC school report can be completed in Naviance and substituted for any non-Common App school reports</w:t>
            </w:r>
          </w:p>
          <w:p w:rsidR="00117A3E" w:rsidRPr="00C54CC8" w:rsidRDefault="002241D8" w:rsidP="00117A3E">
            <w:pPr>
              <w:pStyle w:val="ListParagraph"/>
              <w:numPr>
                <w:ilvl w:val="0"/>
                <w:numId w:val="2"/>
              </w:numPr>
            </w:pPr>
            <w:r>
              <w:t>Teachers and counselors</w:t>
            </w:r>
            <w:r w:rsidR="00117A3E" w:rsidRPr="00C54CC8">
              <w:t xml:space="preserve"> have the ability to customize letters of rec</w:t>
            </w:r>
            <w:r w:rsidR="005B3E54">
              <w:t>ommendation</w:t>
            </w:r>
            <w:r w:rsidR="00117A3E" w:rsidRPr="00C54CC8">
              <w:t xml:space="preserve"> to schools, including Common App</w:t>
            </w:r>
            <w:r w:rsidR="005B3E54">
              <w:t xml:space="preserve"> schools</w:t>
            </w:r>
          </w:p>
          <w:p w:rsidR="00E17339" w:rsidRPr="002F2732" w:rsidRDefault="00117A3E" w:rsidP="00117A3E">
            <w:pPr>
              <w:pStyle w:val="ListParagraph"/>
              <w:numPr>
                <w:ilvl w:val="0"/>
                <w:numId w:val="2"/>
              </w:numPr>
            </w:pPr>
            <w:r w:rsidRPr="00C54CC8">
              <w:t xml:space="preserve">Electronic link to </w:t>
            </w:r>
            <w:r w:rsidR="00E17339">
              <w:t xml:space="preserve">the </w:t>
            </w:r>
            <w:r w:rsidRPr="00C54CC8">
              <w:t>stud</w:t>
            </w:r>
            <w:r w:rsidR="00B84D6B">
              <w:t>ent’s Common App online account allows</w:t>
            </w:r>
            <w:r w:rsidRPr="00C54CC8">
              <w:t xml:space="preserve"> </w:t>
            </w:r>
            <w:r w:rsidR="00B84D6B">
              <w:t>Naviance activity</w:t>
            </w:r>
            <w:r w:rsidR="00E17339">
              <w:t>,</w:t>
            </w:r>
            <w:r w:rsidR="00B84D6B">
              <w:t xml:space="preserve"> </w:t>
            </w:r>
            <w:r w:rsidR="004E1185">
              <w:t>such as sending teacher recs</w:t>
            </w:r>
            <w:r w:rsidR="00E17339">
              <w:t>,</w:t>
            </w:r>
            <w:r w:rsidR="004E1185">
              <w:t xml:space="preserve"> to be</w:t>
            </w:r>
            <w:r w:rsidR="00B84D6B">
              <w:t xml:space="preserve"> automatically recorded in CA account. CA account activity, such as the </w:t>
            </w:r>
            <w:r w:rsidR="004E1185">
              <w:t xml:space="preserve">addition of schools or </w:t>
            </w:r>
            <w:r w:rsidR="00B84D6B">
              <w:t xml:space="preserve">execution of fee waivers and early decision forms, </w:t>
            </w:r>
            <w:r w:rsidR="00B84D6B" w:rsidRPr="002F2732">
              <w:t xml:space="preserve">are automatically recorded in Naviance.  </w:t>
            </w:r>
          </w:p>
          <w:p w:rsidR="00117A3E" w:rsidRPr="002F2732" w:rsidRDefault="00E17339" w:rsidP="00E17339">
            <w:pPr>
              <w:pStyle w:val="ListParagraph"/>
              <w:numPr>
                <w:ilvl w:val="0"/>
                <w:numId w:val="2"/>
              </w:numPr>
            </w:pPr>
            <w:r w:rsidRPr="002F2732">
              <w:t>eDocs provides details on each application piece sent to each Common App college in a student’s list (unlike Parchment and Common App where transcripts are sent once to the Common App and it is not clear which schools the student applies to)</w:t>
            </w:r>
          </w:p>
          <w:p w:rsidR="00117A3E" w:rsidRPr="00C54CC8" w:rsidRDefault="00117A3E" w:rsidP="00117A3E">
            <w:pPr>
              <w:pStyle w:val="ListParagraph"/>
              <w:numPr>
                <w:ilvl w:val="0"/>
                <w:numId w:val="2"/>
              </w:numPr>
            </w:pPr>
            <w:r w:rsidRPr="002F2732">
              <w:t xml:space="preserve">Faster for </w:t>
            </w:r>
            <w:r w:rsidR="002241D8" w:rsidRPr="002F2732">
              <w:t>registrar and/or office staff</w:t>
            </w:r>
            <w:r w:rsidRPr="002F2732">
              <w:t xml:space="preserve"> t</w:t>
            </w:r>
            <w:r w:rsidRPr="00C54CC8">
              <w:t xml:space="preserve">o process materials and </w:t>
            </w:r>
            <w:r w:rsidR="002241D8">
              <w:t>no need to re</w:t>
            </w:r>
            <w:r w:rsidR="004E1185">
              <w:t>send materials lost in the mail</w:t>
            </w:r>
            <w:r w:rsidR="002241D8">
              <w:t>.</w:t>
            </w:r>
          </w:p>
          <w:p w:rsidR="00B84D6B" w:rsidRDefault="00B84D6B" w:rsidP="00B84D6B">
            <w:pPr>
              <w:pStyle w:val="ListParagraph"/>
              <w:numPr>
                <w:ilvl w:val="0"/>
                <w:numId w:val="2"/>
              </w:numPr>
            </w:pPr>
            <w:r w:rsidRPr="004B2C25">
              <w:rPr>
                <w:b/>
                <w:bCs/>
                <w:u w:val="single"/>
              </w:rPr>
              <w:t>All</w:t>
            </w:r>
            <w:r w:rsidRPr="00C54CC8">
              <w:t xml:space="preserve"> documents recorded in one place and visible to counseling staff, </w:t>
            </w:r>
            <w:r>
              <w:t>teachers, office staff</w:t>
            </w:r>
            <w:r w:rsidRPr="00C54CC8">
              <w:t>, registrar and students</w:t>
            </w:r>
          </w:p>
          <w:p w:rsidR="004E1185" w:rsidRPr="00C54CC8" w:rsidRDefault="004E1185" w:rsidP="004E1185">
            <w:pPr>
              <w:pStyle w:val="ListParagraph"/>
              <w:numPr>
                <w:ilvl w:val="0"/>
                <w:numId w:val="2"/>
              </w:numPr>
            </w:pPr>
            <w:r w:rsidRPr="00C54CC8">
              <w:t>Back office more transparent to parents/students</w:t>
            </w:r>
          </w:p>
          <w:p w:rsidR="00B84D6B" w:rsidRPr="00C54CC8" w:rsidRDefault="00B84D6B" w:rsidP="00B84D6B">
            <w:pPr>
              <w:pStyle w:val="ListParagraph"/>
              <w:numPr>
                <w:ilvl w:val="0"/>
                <w:numId w:val="2"/>
              </w:numPr>
            </w:pPr>
            <w:r w:rsidRPr="00C54CC8">
              <w:t xml:space="preserve">Documentation of receipt &amp; download of </w:t>
            </w:r>
            <w:r>
              <w:t>application material</w:t>
            </w:r>
            <w:r w:rsidRPr="00C54CC8">
              <w:t>s</w:t>
            </w:r>
            <w:r w:rsidR="004E1185">
              <w:t xml:space="preserve"> by colleges</w:t>
            </w:r>
          </w:p>
          <w:p w:rsidR="0002190E" w:rsidRDefault="00B84D6B" w:rsidP="00B84D6B">
            <w:pPr>
              <w:pStyle w:val="ListParagraph"/>
              <w:numPr>
                <w:ilvl w:val="0"/>
                <w:numId w:val="2"/>
              </w:numPr>
            </w:pPr>
            <w:r w:rsidRPr="00C54CC8">
              <w:t>Accessibility of Naviance help desk</w:t>
            </w:r>
          </w:p>
          <w:p w:rsidR="00117A3E" w:rsidRPr="00794B80" w:rsidRDefault="00117A3E" w:rsidP="00B84D6B"/>
          <w:p w:rsidR="003B4656" w:rsidRDefault="003B4656" w:rsidP="002241D8">
            <w:pPr>
              <w:pStyle w:val="ListParagraph"/>
              <w:ind w:left="1080"/>
            </w:pPr>
          </w:p>
        </w:tc>
        <w:tc>
          <w:tcPr>
            <w:tcW w:w="5364" w:type="dxa"/>
          </w:tcPr>
          <w:p w:rsidR="00F66EA7" w:rsidRDefault="00F66EA7" w:rsidP="00F66EA7">
            <w:pPr>
              <w:pStyle w:val="ListParagraph"/>
              <w:ind w:left="360"/>
            </w:pPr>
          </w:p>
          <w:p w:rsidR="00F66EA7" w:rsidRPr="003F525C" w:rsidRDefault="00B84D6B" w:rsidP="00F66EA7">
            <w:pPr>
              <w:pStyle w:val="ListParagraph"/>
              <w:numPr>
                <w:ilvl w:val="1"/>
                <w:numId w:val="2"/>
              </w:numPr>
              <w:ind w:left="360"/>
            </w:pPr>
            <w:r>
              <w:t>E</w:t>
            </w:r>
            <w:r w:rsidR="00063F49">
              <w:t>xtensive procedural c</w:t>
            </w:r>
            <w:r w:rsidR="00F66EA7" w:rsidRPr="003F525C">
              <w:t>hanges</w:t>
            </w:r>
            <w:r>
              <w:t xml:space="preserve"> required</w:t>
            </w:r>
          </w:p>
          <w:p w:rsidR="002241D8" w:rsidRDefault="00063F49" w:rsidP="00F66EA7">
            <w:pPr>
              <w:pStyle w:val="ListParagraph"/>
              <w:numPr>
                <w:ilvl w:val="1"/>
                <w:numId w:val="2"/>
              </w:numPr>
              <w:ind w:left="360"/>
            </w:pPr>
            <w:r>
              <w:t>Y</w:t>
            </w:r>
            <w:r w:rsidR="00F66EA7" w:rsidRPr="003F525C">
              <w:t xml:space="preserve">ou </w:t>
            </w:r>
            <w:r>
              <w:t>must</w:t>
            </w:r>
            <w:r w:rsidR="00F66EA7" w:rsidRPr="003F525C">
              <w:t xml:space="preserve"> set up accounts for each teacher in Naviance and train them in its use. </w:t>
            </w:r>
          </w:p>
          <w:p w:rsidR="00F42FFD" w:rsidRDefault="00F66EA7" w:rsidP="00F66EA7">
            <w:pPr>
              <w:pStyle w:val="ListParagraph"/>
              <w:numPr>
                <w:ilvl w:val="1"/>
                <w:numId w:val="2"/>
              </w:numPr>
              <w:ind w:left="360"/>
            </w:pPr>
            <w:r w:rsidRPr="003F525C">
              <w:t>The Naviance system for teacher recs is more complex than the online Common App System f</w:t>
            </w:r>
            <w:r w:rsidR="00F42FFD">
              <w:t>or teachers:</w:t>
            </w:r>
          </w:p>
          <w:p w:rsidR="00F42FFD" w:rsidRPr="003F525C" w:rsidRDefault="00B84D6B" w:rsidP="00F42FFD">
            <w:pPr>
              <w:pStyle w:val="ListParagraph"/>
              <w:numPr>
                <w:ilvl w:val="0"/>
                <w:numId w:val="3"/>
              </w:numPr>
              <w:ind w:left="756"/>
            </w:pPr>
            <w:r>
              <w:t>T</w:t>
            </w:r>
            <w:r w:rsidR="00F42FFD">
              <w:t xml:space="preserve">wo-step process </w:t>
            </w:r>
            <w:r>
              <w:t>to upload and send</w:t>
            </w:r>
          </w:p>
          <w:p w:rsidR="00F42FFD" w:rsidRDefault="00B84D6B" w:rsidP="00F42FFD">
            <w:pPr>
              <w:pStyle w:val="ListParagraph"/>
              <w:numPr>
                <w:ilvl w:val="0"/>
                <w:numId w:val="3"/>
              </w:numPr>
              <w:ind w:left="756"/>
            </w:pPr>
            <w:r>
              <w:t>S</w:t>
            </w:r>
            <w:r w:rsidR="00F42FFD">
              <w:t>ee</w:t>
            </w:r>
            <w:r>
              <w:t>ing</w:t>
            </w:r>
            <w:r w:rsidR="00F42FFD">
              <w:t xml:space="preserve"> a full list of a student’s college apps </w:t>
            </w:r>
            <w:r>
              <w:t>confuses teachers on</w:t>
            </w:r>
            <w:r w:rsidR="00F42FFD">
              <w:t xml:space="preserve"> </w:t>
            </w:r>
            <w:r>
              <w:t>where to send</w:t>
            </w:r>
            <w:r w:rsidR="00F42FFD">
              <w:t xml:space="preserve"> rec</w:t>
            </w:r>
            <w:r>
              <w:t>s</w:t>
            </w:r>
          </w:p>
          <w:p w:rsidR="00F42FFD" w:rsidRDefault="00F42FFD" w:rsidP="00F42FFD">
            <w:pPr>
              <w:pStyle w:val="ListParagraph"/>
              <w:numPr>
                <w:ilvl w:val="0"/>
                <w:numId w:val="3"/>
              </w:numPr>
              <w:ind w:left="756"/>
            </w:pPr>
            <w:r>
              <w:t xml:space="preserve">Easy to mistakenly transmit recs to the wrong school </w:t>
            </w:r>
          </w:p>
          <w:p w:rsidR="00F42FFD" w:rsidRPr="005B3E54" w:rsidRDefault="00F42FFD" w:rsidP="00F42FFD">
            <w:pPr>
              <w:pStyle w:val="ListParagraph"/>
              <w:numPr>
                <w:ilvl w:val="0"/>
                <w:numId w:val="3"/>
              </w:numPr>
              <w:ind w:left="756"/>
            </w:pPr>
            <w:r>
              <w:t xml:space="preserve">Easy </w:t>
            </w:r>
            <w:r w:rsidRPr="005B3E54">
              <w:t xml:space="preserve">to </w:t>
            </w:r>
            <w:r w:rsidR="00B84D6B" w:rsidRPr="005B3E54">
              <w:t xml:space="preserve">mistakenly </w:t>
            </w:r>
            <w:r w:rsidRPr="005B3E54">
              <w:t>send another</w:t>
            </w:r>
            <w:r w:rsidR="00B84D6B" w:rsidRPr="005B3E54">
              <w:t xml:space="preserve"> teacher’s recs</w:t>
            </w:r>
            <w:r w:rsidRPr="005B3E54">
              <w:t>.</w:t>
            </w:r>
            <w:r w:rsidR="00C02E64" w:rsidRPr="005B3E54">
              <w:t xml:space="preserve"> (</w:t>
            </w:r>
            <w:r w:rsidR="005B3E54" w:rsidRPr="005B3E54">
              <w:t xml:space="preserve">This </w:t>
            </w:r>
            <w:r w:rsidR="00C02E64" w:rsidRPr="005B3E54">
              <w:t>may be fixed for next year)</w:t>
            </w:r>
          </w:p>
          <w:p w:rsidR="00F42FFD" w:rsidRDefault="00F42FFD" w:rsidP="00F66EA7">
            <w:pPr>
              <w:pStyle w:val="ListParagraph"/>
              <w:numPr>
                <w:ilvl w:val="1"/>
                <w:numId w:val="2"/>
              </w:numPr>
              <w:ind w:left="360"/>
            </w:pPr>
            <w:r w:rsidRPr="005B3E54">
              <w:t>Teacher Recommendation</w:t>
            </w:r>
            <w:r>
              <w:t xml:space="preserve"> “completion” status is confusing to s</w:t>
            </w:r>
            <w:r w:rsidR="00F66EA7" w:rsidRPr="003F525C">
              <w:t xml:space="preserve">tudents </w:t>
            </w:r>
            <w:r>
              <w:t>and teachers</w:t>
            </w:r>
          </w:p>
          <w:p w:rsidR="00F66EA7" w:rsidRPr="00E17339" w:rsidRDefault="00F42FFD" w:rsidP="00F66EA7">
            <w:pPr>
              <w:pStyle w:val="ListParagraph"/>
              <w:numPr>
                <w:ilvl w:val="1"/>
                <w:numId w:val="2"/>
              </w:numPr>
              <w:ind w:left="360"/>
            </w:pPr>
            <w:r w:rsidRPr="00E17339">
              <w:t>Students are confused by</w:t>
            </w:r>
            <w:r w:rsidR="00B84D6B" w:rsidRPr="00E17339">
              <w:t xml:space="preserve"> teacher recommendation </w:t>
            </w:r>
            <w:r w:rsidR="00F66EA7" w:rsidRPr="00E17339">
              <w:t>procedures.</w:t>
            </w:r>
          </w:p>
          <w:p w:rsidR="00F66EA7" w:rsidRPr="003F525C" w:rsidRDefault="00F66EA7" w:rsidP="00F66EA7">
            <w:pPr>
              <w:pStyle w:val="ListParagraph"/>
              <w:numPr>
                <w:ilvl w:val="1"/>
                <w:numId w:val="2"/>
              </w:numPr>
              <w:ind w:left="360"/>
            </w:pPr>
            <w:r w:rsidRPr="003F525C">
              <w:t xml:space="preserve">Difficulty sending to a select few Common App schools that also have a school-specific </w:t>
            </w:r>
            <w:r w:rsidR="00063F49">
              <w:t>forms.</w:t>
            </w:r>
          </w:p>
          <w:p w:rsidR="00F66EA7" w:rsidRPr="005B3E54" w:rsidRDefault="00F66EA7" w:rsidP="00F66EA7">
            <w:pPr>
              <w:pStyle w:val="ListParagraph"/>
              <w:numPr>
                <w:ilvl w:val="1"/>
                <w:numId w:val="2"/>
              </w:numPr>
              <w:ind w:left="360"/>
            </w:pPr>
            <w:r w:rsidRPr="003F525C">
              <w:t>Limitations on the file size</w:t>
            </w:r>
            <w:r w:rsidR="002241D8">
              <w:t xml:space="preserve"> </w:t>
            </w:r>
            <w:r w:rsidR="002241D8" w:rsidRPr="003F525C">
              <w:t>(500 kb)</w:t>
            </w:r>
            <w:r w:rsidR="002241D8">
              <w:t xml:space="preserve"> of </w:t>
            </w:r>
            <w:r w:rsidR="004E1185">
              <w:t xml:space="preserve">uploaded </w:t>
            </w:r>
            <w:r w:rsidR="002241D8">
              <w:t xml:space="preserve">recommendation letters and other </w:t>
            </w:r>
            <w:r w:rsidR="002241D8" w:rsidRPr="005B3E54">
              <w:t>documents</w:t>
            </w:r>
            <w:r w:rsidR="004E1185" w:rsidRPr="005B3E54">
              <w:t xml:space="preserve">. </w:t>
            </w:r>
          </w:p>
          <w:p w:rsidR="003B4656" w:rsidRDefault="002241D8" w:rsidP="003F525C">
            <w:pPr>
              <w:pStyle w:val="ListParagraph"/>
              <w:numPr>
                <w:ilvl w:val="1"/>
                <w:numId w:val="2"/>
              </w:numPr>
              <w:ind w:left="360"/>
            </w:pPr>
            <w:r w:rsidRPr="005B3E54">
              <w:t>Naviance</w:t>
            </w:r>
            <w:r w:rsidR="00F66EA7" w:rsidRPr="005B3E54">
              <w:t xml:space="preserve"> will charge a fee fo</w:t>
            </w:r>
            <w:r w:rsidR="00620BC8" w:rsidRPr="005B3E54">
              <w:t xml:space="preserve">r sending transcripts </w:t>
            </w:r>
            <w:r w:rsidRPr="005B3E54">
              <w:t>through eDocs</w:t>
            </w:r>
            <w:r w:rsidR="00063F49" w:rsidRPr="005B3E54">
              <w:t xml:space="preserve"> beginning</w:t>
            </w:r>
            <w:r w:rsidRPr="005B3E54">
              <w:t xml:space="preserve"> </w:t>
            </w:r>
            <w:r w:rsidR="00620BC8" w:rsidRPr="005B3E54">
              <w:t>in 2013-</w:t>
            </w:r>
            <w:r w:rsidRPr="005B3E54">
              <w:t xml:space="preserve"> 2014.</w:t>
            </w:r>
            <w:r w:rsidR="00D35301" w:rsidRPr="005B3E54">
              <w:t xml:space="preserve"> ($1 per senior)</w:t>
            </w:r>
          </w:p>
        </w:tc>
      </w:tr>
    </w:tbl>
    <w:p w:rsidR="002241D8" w:rsidRDefault="002241D8" w:rsidP="00C54CC8"/>
    <w:sectPr w:rsidR="002241D8" w:rsidSect="00CD516E">
      <w:pgSz w:w="12240" w:h="15840"/>
      <w:pgMar w:top="1008" w:right="1008" w:bottom="1008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363"/>
    <w:multiLevelType w:val="hybridMultilevel"/>
    <w:tmpl w:val="835E40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61461D"/>
    <w:multiLevelType w:val="hybridMultilevel"/>
    <w:tmpl w:val="B01EFF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914B15"/>
    <w:multiLevelType w:val="hybridMultilevel"/>
    <w:tmpl w:val="40D20ED8"/>
    <w:lvl w:ilvl="0" w:tplc="101C7632">
      <w:start w:val="1"/>
      <w:numFmt w:val="bullet"/>
      <w:lvlText w:val=""/>
      <w:lvlJc w:val="left"/>
      <w:pPr>
        <w:ind w:left="1547" w:hanging="27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54CC8"/>
    <w:rsid w:val="0002190E"/>
    <w:rsid w:val="000305E5"/>
    <w:rsid w:val="00054ABA"/>
    <w:rsid w:val="00063F49"/>
    <w:rsid w:val="000C351D"/>
    <w:rsid w:val="000F6C49"/>
    <w:rsid w:val="00117A3E"/>
    <w:rsid w:val="0020712C"/>
    <w:rsid w:val="002241D8"/>
    <w:rsid w:val="00282797"/>
    <w:rsid w:val="002D0AFE"/>
    <w:rsid w:val="002F2732"/>
    <w:rsid w:val="0033522F"/>
    <w:rsid w:val="00343FAD"/>
    <w:rsid w:val="0035271B"/>
    <w:rsid w:val="003B4656"/>
    <w:rsid w:val="003F525C"/>
    <w:rsid w:val="00443D52"/>
    <w:rsid w:val="0048385C"/>
    <w:rsid w:val="0049321C"/>
    <w:rsid w:val="004B2C25"/>
    <w:rsid w:val="004E1185"/>
    <w:rsid w:val="005B3E54"/>
    <w:rsid w:val="00620BC8"/>
    <w:rsid w:val="00657C6F"/>
    <w:rsid w:val="00746F39"/>
    <w:rsid w:val="00762E2B"/>
    <w:rsid w:val="00771A40"/>
    <w:rsid w:val="00794B80"/>
    <w:rsid w:val="007E36D3"/>
    <w:rsid w:val="0080783F"/>
    <w:rsid w:val="008355B9"/>
    <w:rsid w:val="009675DB"/>
    <w:rsid w:val="009D5C04"/>
    <w:rsid w:val="009E559D"/>
    <w:rsid w:val="00AC62F7"/>
    <w:rsid w:val="00B235DA"/>
    <w:rsid w:val="00B84D6B"/>
    <w:rsid w:val="00BE5D81"/>
    <w:rsid w:val="00C02E64"/>
    <w:rsid w:val="00C45100"/>
    <w:rsid w:val="00C54CC8"/>
    <w:rsid w:val="00CC6AEA"/>
    <w:rsid w:val="00CD516E"/>
    <w:rsid w:val="00D11239"/>
    <w:rsid w:val="00D35301"/>
    <w:rsid w:val="00D80383"/>
    <w:rsid w:val="00E17339"/>
    <w:rsid w:val="00EA47B3"/>
    <w:rsid w:val="00EC7880"/>
    <w:rsid w:val="00F150AE"/>
    <w:rsid w:val="00F345C1"/>
    <w:rsid w:val="00F42FFD"/>
    <w:rsid w:val="00F63B5B"/>
    <w:rsid w:val="00F66EA7"/>
    <w:rsid w:val="00FA3604"/>
    <w:rsid w:val="00FD1D16"/>
  </w:rsids>
  <m:mathPr>
    <m:mathFont m:val="Osaka−等幅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9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B4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8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Macintosh Word</Application>
  <DocSecurity>0</DocSecurity>
  <Lines>16</Lines>
  <Paragraphs>3</Paragraphs>
  <ScaleCrop>false</ScaleCrop>
  <Company>D214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cp:lastModifiedBy>John Hersey High School</cp:lastModifiedBy>
  <cp:revision>2</cp:revision>
  <cp:lastPrinted>2013-04-29T20:45:00Z</cp:lastPrinted>
  <dcterms:created xsi:type="dcterms:W3CDTF">2013-04-29T20:45:00Z</dcterms:created>
  <dcterms:modified xsi:type="dcterms:W3CDTF">2013-04-29T20:45:00Z</dcterms:modified>
</cp:coreProperties>
</file>